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B3" w:rsidRDefault="004C6DB3" w:rsidP="004C6D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6DB3" w:rsidRPr="00AB008B" w:rsidRDefault="004C6DB3" w:rsidP="004C6DB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C6DB3" w:rsidRPr="00AB008B" w:rsidRDefault="004C6DB3" w:rsidP="004C6DB3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008B">
        <w:rPr>
          <w:rFonts w:ascii="Times New Roman" w:hAnsi="Times New Roman" w:cs="Times New Roman"/>
          <w:b/>
          <w:i/>
          <w:sz w:val="52"/>
          <w:szCs w:val="52"/>
        </w:rPr>
        <w:t>Analiza</w:t>
      </w:r>
    </w:p>
    <w:p w:rsidR="004C6DB3" w:rsidRPr="00AB008B" w:rsidRDefault="004C6DB3" w:rsidP="004C6DB3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008B">
        <w:rPr>
          <w:rFonts w:ascii="Times New Roman" w:hAnsi="Times New Roman" w:cs="Times New Roman"/>
          <w:b/>
          <w:i/>
          <w:sz w:val="52"/>
          <w:szCs w:val="52"/>
        </w:rPr>
        <w:t>stanu gospodarki odpadami komunalnymi</w:t>
      </w:r>
    </w:p>
    <w:p w:rsidR="004C6DB3" w:rsidRPr="00AB008B" w:rsidRDefault="004C6DB3" w:rsidP="004C6DB3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008B">
        <w:rPr>
          <w:rFonts w:ascii="Times New Roman" w:hAnsi="Times New Roman" w:cs="Times New Roman"/>
          <w:b/>
          <w:i/>
          <w:sz w:val="52"/>
          <w:szCs w:val="52"/>
        </w:rPr>
        <w:t xml:space="preserve">na terenie Gminy </w:t>
      </w:r>
      <w:r>
        <w:rPr>
          <w:rFonts w:ascii="Times New Roman" w:hAnsi="Times New Roman" w:cs="Times New Roman"/>
          <w:b/>
          <w:i/>
          <w:sz w:val="52"/>
          <w:szCs w:val="52"/>
        </w:rPr>
        <w:t>Mniszków</w:t>
      </w:r>
    </w:p>
    <w:p w:rsidR="004C6DB3" w:rsidRPr="00AB008B" w:rsidRDefault="004C6DB3" w:rsidP="004C6DB3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za rok 2013</w:t>
      </w: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Mniszków marzec </w:t>
      </w:r>
      <w:r w:rsidRPr="00AB008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008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C6DB3" w:rsidRPr="00963EEA" w:rsidRDefault="004C6DB3" w:rsidP="004C6D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EEA">
        <w:rPr>
          <w:rFonts w:ascii="Times New Roman" w:hAnsi="Times New Roman" w:cs="Times New Roman"/>
          <w:b/>
          <w:sz w:val="28"/>
          <w:szCs w:val="28"/>
        </w:rPr>
        <w:lastRenderedPageBreak/>
        <w:t>Wprowadzenie</w:t>
      </w:r>
    </w:p>
    <w:p w:rsidR="004C6DB3" w:rsidRPr="00963EEA" w:rsidRDefault="004C6DB3" w:rsidP="004C6DB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C6DB3" w:rsidRPr="00963EEA" w:rsidRDefault="004C6DB3" w:rsidP="004C6DB3">
      <w:pPr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1. Cel sporządzenia Analizy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ma obowiązek wykonania corocznej analizy stanu gospodarki odpadami komunalnymi na swoim terenie, w celu weryfikacji możliwości technicznych i organizacyjnych gminy w zakresie gospodarowania odpadami komunalnymi.</w:t>
      </w:r>
    </w:p>
    <w:p w:rsidR="004C6DB3" w:rsidRPr="00963EEA" w:rsidRDefault="004C6DB3" w:rsidP="004C6DB3">
      <w:pPr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2. Podstawa prawna sporządzenia Analizy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 xml:space="preserve">Analizę sporządzono na podstawie art. 3 ust. 2 pkt. 10 ustawy z dnia 13 września 1996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B008B">
        <w:rPr>
          <w:rFonts w:ascii="Times New Roman" w:hAnsi="Times New Roman" w:cs="Times New Roman"/>
          <w:sz w:val="24"/>
          <w:szCs w:val="24"/>
        </w:rPr>
        <w:t>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008B">
        <w:rPr>
          <w:rFonts w:ascii="Times New Roman" w:hAnsi="Times New Roman" w:cs="Times New Roman"/>
          <w:sz w:val="24"/>
          <w:szCs w:val="24"/>
        </w:rPr>
        <w:t xml:space="preserve">Dz. U. z 2013 r. poz. 1399 z </w:t>
      </w:r>
      <w:proofErr w:type="spellStart"/>
      <w:r w:rsidRPr="00AB00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008B">
        <w:rPr>
          <w:rFonts w:ascii="Times New Roman" w:hAnsi="Times New Roman" w:cs="Times New Roman"/>
          <w:sz w:val="24"/>
          <w:szCs w:val="24"/>
        </w:rPr>
        <w:t>. zm.), gdzie określony został wymagany zakres takiej analizy.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Zakres przedmiotowej analizy pokrywa się z rocznym sprawozdaniem z realizacji zadań z zakresu gospodarowania odpadami komunalnymi, sporządzanym przez gminę, na podstawie art. 9q ust. 1 i 3 cyt. ustawy, celem jego przedłożenia marszałkowi województwa oraz wojewódzkiemu inspektorowi ochrony środowiska w terminie do 31 marca roku następującego po roku, którego dotyczy.</w:t>
      </w:r>
    </w:p>
    <w:p w:rsidR="004C6DB3" w:rsidRPr="00963EEA" w:rsidRDefault="004C6DB3" w:rsidP="004C6DB3">
      <w:pPr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3. Regulacje prawne z zakresu gospodarowania odpadami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Przy sporządzaniu niniejszej Analizy opierano się również o dokumenty o charakterze strategicznym, tj.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Plan Gospodarki Odpadami dla Województwa Łódzkiego 2012 przyjęty uchwałą Nr XXV/481/12 Sejmiku Województwa Łódzkiego z dnia 21 czerwca 2012 r.,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Krajowy plan gospodarki odpadami 2014 przyjęty uchwałą nr 217 Rady Ministrów z dnia 24 grudnia 2010 r. (M.P. Nr 101, poz. 1183),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Polityka Ekologiczna Państwa w latach 2009-2012 z perspektywą do roku 2016,przyjęta uchwałą Sejmu Rzeczypospolitej Polskiej z dnia 22 maja 2009 r. (M.P. Nr 34,poz. 501);</w:t>
      </w:r>
      <w:r>
        <w:rPr>
          <w:rFonts w:ascii="Times New Roman" w:hAnsi="Times New Roman" w:cs="Times New Roman"/>
          <w:sz w:val="24"/>
          <w:szCs w:val="24"/>
        </w:rPr>
        <w:br/>
      </w:r>
      <w:r w:rsidRPr="00AB008B">
        <w:rPr>
          <w:rFonts w:ascii="Times New Roman" w:hAnsi="Times New Roman" w:cs="Times New Roman"/>
          <w:sz w:val="24"/>
          <w:szCs w:val="24"/>
        </w:rPr>
        <w:t>a także ustawy i akty wykonawcze dotyczące problematyki gospodarki odpadami, tj.: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ustawa z dnia 14 grudnia 2012 r.</w:t>
      </w:r>
      <w:r>
        <w:rPr>
          <w:rFonts w:ascii="Times New Roman" w:hAnsi="Times New Roman" w:cs="Times New Roman"/>
          <w:sz w:val="24"/>
          <w:szCs w:val="24"/>
        </w:rPr>
        <w:t xml:space="preserve"> o odpadach (Dz. U. z 2013 r. poz. </w:t>
      </w:r>
      <w:r w:rsidRPr="00AB008B">
        <w:rPr>
          <w:rFonts w:ascii="Times New Roman" w:hAnsi="Times New Roman" w:cs="Times New Roman"/>
          <w:sz w:val="24"/>
          <w:szCs w:val="24"/>
        </w:rPr>
        <w:t xml:space="preserve">21 z </w:t>
      </w:r>
      <w:proofErr w:type="spellStart"/>
      <w:r w:rsidRPr="00AB00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008B">
        <w:rPr>
          <w:rFonts w:ascii="Times New Roman" w:hAnsi="Times New Roman" w:cs="Times New Roman"/>
          <w:sz w:val="24"/>
          <w:szCs w:val="24"/>
        </w:rPr>
        <w:t xml:space="preserve"> zm.),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Rozporządzenie Ministra Środowiska z dnia 25 maja 2012 r. w sprawie poziomów ograniczenia masy odpadów komunalnych ulegających biodegradacji przekazywanych do składowania oraz sposobu obliczania poziomu ograniczania masy tych odpadów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08B">
        <w:rPr>
          <w:rFonts w:ascii="Times New Roman" w:hAnsi="Times New Roman" w:cs="Times New Roman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AB008B">
        <w:rPr>
          <w:rFonts w:ascii="Times New Roman" w:hAnsi="Times New Roman" w:cs="Times New Roman"/>
          <w:sz w:val="24"/>
          <w:szCs w:val="24"/>
        </w:rPr>
        <w:t>z 2012 r. Nr 676),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Rozporządzenie Ministra Środowi</w:t>
      </w:r>
      <w:r>
        <w:rPr>
          <w:rFonts w:ascii="Times New Roman" w:hAnsi="Times New Roman" w:cs="Times New Roman"/>
          <w:sz w:val="24"/>
          <w:szCs w:val="24"/>
        </w:rPr>
        <w:t xml:space="preserve">ska z dnia 29 maja 2012 r.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AB008B">
        <w:rPr>
          <w:rFonts w:ascii="Times New Roman" w:hAnsi="Times New Roman" w:cs="Times New Roman"/>
          <w:sz w:val="24"/>
          <w:szCs w:val="24"/>
        </w:rPr>
        <w:t>oziomów recyklingu, przygotowania do ponownego użycia i odzysku innymi metodami niektórych frakcji odpadów komunalnych (Dz. U. z 2012 r. Nr 645),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lastRenderedPageBreak/>
        <w:t xml:space="preserve">- Rozporządzenie Ministra Środowiska z dnia 15 maja 2012 r. </w:t>
      </w:r>
      <w:proofErr w:type="spellStart"/>
      <w:r w:rsidRPr="00AB008B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AB008B">
        <w:rPr>
          <w:rFonts w:ascii="Times New Roman" w:hAnsi="Times New Roman" w:cs="Times New Roman"/>
          <w:sz w:val="24"/>
          <w:szCs w:val="24"/>
        </w:rPr>
        <w:t xml:space="preserve">. wzorów sprawozdań </w:t>
      </w:r>
      <w:r>
        <w:rPr>
          <w:rFonts w:ascii="Times New Roman" w:hAnsi="Times New Roman" w:cs="Times New Roman"/>
          <w:sz w:val="24"/>
          <w:szCs w:val="24"/>
        </w:rPr>
        <w:br/>
      </w:r>
      <w:r w:rsidRPr="00AB008B">
        <w:rPr>
          <w:rFonts w:ascii="Times New Roman" w:hAnsi="Times New Roman" w:cs="Times New Roman"/>
          <w:sz w:val="24"/>
          <w:szCs w:val="24"/>
        </w:rPr>
        <w:t>o odebranych odpadach komunalnych, odebranych nieczystościach ciekłych oraz realizacji zadań z zakresu gospodarowania odpadami komunalnymi (Dz. U. z 2012 r. Nr 630),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 xml:space="preserve">- Rozporządzenie Ministra Środowiska z dnia 11 września 2012 r. </w:t>
      </w:r>
      <w:proofErr w:type="spellStart"/>
      <w:r w:rsidRPr="00AB008B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AB008B">
        <w:rPr>
          <w:rFonts w:ascii="Times New Roman" w:hAnsi="Times New Roman" w:cs="Times New Roman"/>
          <w:sz w:val="24"/>
          <w:szCs w:val="24"/>
        </w:rPr>
        <w:t>. mechaniczno-biologicznego przetwarzania zmieszanych odpadów komunalnych (Dz. U. z 2012 r. Nr 1052),</w:t>
      </w:r>
    </w:p>
    <w:p w:rsidR="004C6DB3" w:rsidRPr="00AB008B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 xml:space="preserve">- Rozporządzenie Ministra Środowiska z dnia 8 grudnia 2010 r. </w:t>
      </w:r>
      <w:proofErr w:type="spellStart"/>
      <w:r w:rsidRPr="00AB008B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AB008B">
        <w:rPr>
          <w:rFonts w:ascii="Times New Roman" w:hAnsi="Times New Roman" w:cs="Times New Roman"/>
          <w:sz w:val="24"/>
          <w:szCs w:val="24"/>
        </w:rPr>
        <w:t>. Wzorów dokumentów stosowanych na potrzeby ewidencji odpadów (Dz. U. z 2010 r. Nr 249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08B">
        <w:rPr>
          <w:rFonts w:ascii="Times New Roman" w:hAnsi="Times New Roman" w:cs="Times New Roman"/>
          <w:sz w:val="24"/>
          <w:szCs w:val="24"/>
        </w:rPr>
        <w:t xml:space="preserve">poz. 1673 z </w:t>
      </w:r>
      <w:proofErr w:type="spellStart"/>
      <w:r w:rsidRPr="00AB00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008B">
        <w:rPr>
          <w:rFonts w:ascii="Times New Roman" w:hAnsi="Times New Roman" w:cs="Times New Roman"/>
          <w:sz w:val="24"/>
          <w:szCs w:val="24"/>
        </w:rPr>
        <w:t>. zm.),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 xml:space="preserve">- Rozporządzenie Ministra Środowiska z dnia 27 września 2001 r. </w:t>
      </w:r>
      <w:proofErr w:type="spellStart"/>
      <w:r w:rsidRPr="00AB008B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AB008B">
        <w:rPr>
          <w:rFonts w:ascii="Times New Roman" w:hAnsi="Times New Roman" w:cs="Times New Roman"/>
          <w:sz w:val="24"/>
          <w:szCs w:val="24"/>
        </w:rPr>
        <w:t>. Katalogu odpadów (Dz. U. z 2001 r. Nr 112, poz. 1206).</w:t>
      </w:r>
    </w:p>
    <w:p w:rsidR="004C6DB3" w:rsidRPr="00963EEA" w:rsidRDefault="004C6DB3" w:rsidP="004C6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4.</w:t>
      </w:r>
      <w:r w:rsidRPr="00963EEA">
        <w:rPr>
          <w:rFonts w:ascii="Times New Roman" w:hAnsi="Times New Roman" w:cs="Times New Roman"/>
          <w:sz w:val="24"/>
          <w:szCs w:val="24"/>
        </w:rPr>
        <w:t xml:space="preserve"> </w:t>
      </w:r>
      <w:r w:rsidRPr="00963EEA">
        <w:rPr>
          <w:rFonts w:ascii="Times New Roman" w:hAnsi="Times New Roman" w:cs="Times New Roman"/>
          <w:b/>
          <w:sz w:val="24"/>
          <w:szCs w:val="24"/>
        </w:rPr>
        <w:t>Ogólna charakterystyka planu gospodarowania odpadami komunalnymi na terenie Gminy Mniszków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lipca 2013 roku gmina zobowiązana była objąć systemem odbioru i zagospodarowania odpadów komunalnych wszystkich właścicieli zamieszkałych nieruchomości. Rok 2013 był zatem rokiem planowania i organizacji wielkich zmian, rokiem analiz finansowych i projektowania uchwał stanowiących o nowym systemie. Organizowany w latach 2012/2013 nowy system gospodarki odpadami komunalnymi, który zaczął obowiązywać od 1 lipca 2013r. wiązał się z wprowadzeniem opłaty  za gospodarowanie odpadami komunalnymi, tj. miesięcznej opłaty uiszczanej przez właścicieli  nieruchomości zamieszkałych na rzecz Gminy Mniszków, która w zamian odbierała będzie od właścicieli nieruchomości każdą wytworzoną przez nich ilość odpadów komunalnych zmieszanych oraz zbieranych w sposób selektywny, tj. papier, tworzywa sztuczne i szkło, a także wyposażała nieruchomości w pojemniki i worki do gromadzenia odpadów komunalny. Właściciele nieruchomości zamieszkałych zostali zatem obciążeni opłatą, która zgodnie z art. 6i powstaje w przypadku nieruchomości, których mowa w art.6c ust.1 – za każdy miesiąc, w którym na danej nieruchomości zamieszkuje mieszkaniec. Opłata ta stanowi  dochód Gminy. Zgodnie z podjętymi w 2012 i 2013 roku uchwałami, systemem gospodarowania odpadami komunalnymi zostali wyłącznie objęci właściciele nieruchomości zamieszkałych na terenie Gminy Mniszków.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wywiązując się z ustawowego obowiązku musiała zaplanować i zorganizować system gospodarki odpadami, przygotować i przyjąć nowe uchwały przez Radę Gminy Mniszków regulujące nowy system. Zostały podjęte następujące uchwały: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przyjęcia ,, Regulaminu utrzymania czystości i porządku na terenie Gminy Mniszków”,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sposobu i zakresu świadczenia usług w zakresie odbierania odpadów komunalnych od właścicieli nieruchomości i zagospodarowania tych odpadów,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wyboru metody ustalenia opłaty za gospodarowanie odpadami komunalnymi oraz ustalenia stawki tej opłaty,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 sprawie terminu, częstotliwości i trybu uiszczania opłaty za gospodarowanie odpadami komunalnymi przez właścicieli nieruchomości,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sprawie wzoru deklaracji o wysokości  opłat za gospodarowanie odpadami komunalnymi składanej przez właścicieli nieruchomości, na których zamieszkują mieszkańcy. 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objęła systemem tylko właścicieli nieruchomości zamieszkałych. Od 1 lipca 2013 roku mieszkańcy są zobowiązani do uiszczania opłaty za gospodarowanie odpadami komunalnymi na rzecz Gminy Mniszków. Gmina w drodze przetargu wybrała firmę, która odbiera każda ilość wytworzonych odpadów komunalnych przez właścicieli nieruchomości. Przetarg wygrała firma A.S.A. Eko Polska Sp. z o.o. ul. Lecha 10, 41-800 Zabrze. 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A.S.A. Eko Polska Sp. z o.o. wyposażyła nieruchomości w pojemniki służące do gromadzenia zmieszanych odpadów komunalnych oraz odpadów zebranych w sposób selektywny.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pojemników została dostosowana do ilości osób zamieszkałych na danej nieruchomości..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na terenie nieruchomości odpady komunalne są zbierane i odbierane w sposób selektywny to:</w:t>
      </w:r>
    </w:p>
    <w:p w:rsidR="004C6DB3" w:rsidRDefault="004C6DB3" w:rsidP="004C6D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nieruchomości zamieszkałej przez 1-2 osoby – na odpady zmieszane 1 pojemnik o pojemności 120 l, odpady zbierane i odbierane w sposób selektywny 2 pojemniki o pojemności 120 l każdy,</w:t>
      </w:r>
    </w:p>
    <w:p w:rsidR="004C6DB3" w:rsidRDefault="004C6DB3" w:rsidP="004C6D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nieruchomości zamieszkałej przez 3-5 osób – na odpady zmieszane 1 pojemnik o pojemności 120 l, odpady zbierane i odbierane w sposób selektywny 2 pojemniki o pojemności 120 l każdy,</w:t>
      </w:r>
    </w:p>
    <w:p w:rsidR="004C6DB3" w:rsidRDefault="004C6DB3" w:rsidP="004C6D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nieruchomości zamieszkałej przez 6 osób i powyżej – na odpady zmieszane 1 pojemnik o pojemności 240 l, odpady zbierane i odbierane w sposób selektywny 2 pojemniki o pojemności 120 l każdy,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na terenie nieruchomości odpady komunalne są zbierane i odbierane w sposób nieselektywny bez względu na liczbę zamieszkałych na niej osób – pojemnik o pojemności 240 l.</w:t>
      </w:r>
    </w:p>
    <w:p w:rsidR="004C6DB3" w:rsidRPr="00D315B6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28 grudnia 2012 roku Uchwałą Nr XXIV/135/12 , zmieniona Uchwałą Nr XXVI/154/13 Rady Gminy Mniszków została przyjęta nowa metoda ustalenia opłaty w zależności od liczby osób w gospodarstwie domowym zamieszkałych na danej nieruchomości.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Stawki opłat za gospodarowanie odpadami komunalnymi zostały ustalone w wysokości: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gospodarstwo domowe do 2 osób – 21zł/miesiąc,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gospodarstwo domowe od 3 do 5 osób – 23zł/miesiąc,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gospodarstwo domowe  6 osób i powyżej – 25zł/miesiąc.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odpady zbierane w sposób selektywny: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gospodarstwo domowe do 2 osób – 12zł/miesiąc,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gospodarstwo domowe od 3 do 5 osób – 16zł/miesiąc,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gospodarstwo domowe  6 osób i powyżej – 18zł/miesiąc.</w:t>
      </w:r>
    </w:p>
    <w:p w:rsidR="004C6DB3" w:rsidRDefault="004C6DB3" w:rsidP="004C6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gospodarowanie odpadami należy uiszczać w następujących terminach:</w:t>
      </w:r>
    </w:p>
    <w:p w:rsidR="004C6DB3" w:rsidRDefault="004C6DB3" w:rsidP="004C6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 kwartał roku kalendarzowego do 15 kwietnia danego roku,</w:t>
      </w:r>
    </w:p>
    <w:p w:rsidR="004C6DB3" w:rsidRDefault="004C6DB3" w:rsidP="004C6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 kwartał roku kalendarzowego do 15 lipca danego roku,</w:t>
      </w:r>
    </w:p>
    <w:p w:rsidR="004C6DB3" w:rsidRDefault="004C6DB3" w:rsidP="004C6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III kwartał roku kalendarzowego do 15 października danego roku,</w:t>
      </w:r>
    </w:p>
    <w:p w:rsidR="004C6DB3" w:rsidRDefault="004C6DB3" w:rsidP="004C6D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IV kwartał roku kalendarzowego do 15 stycznia następnego roku.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Odpady niesegregowane (zmieszane) odbierane są raz w miesiącu, natomiast odpady selektywne odbierane są raz na dwa miesiące. Przeterminowane lekarstwa można bezpłatnie dostarczyć do punktów przy aptekach ( ul. Powstańców Wielkopolskich 1, ul. Piotrkowska 9) w godzinach pracy punktu. Dodatkowo zużyte baterie można dostarczyć do szkół znajdujących się na terenie gminy.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 terenie gminy funkcjonuje od 1 lipca 2013 roku Punkt Selektywnego Zbierania Odpadów Komunalnych zlokalizowany przy Oczyszczalni Ścieków. Punkt ten jest czynny w każdy ostatni piątek miesiąca w godzinach od 8:00 do 15:00. Do Punktu Selektywnego Zbierania Odpadów Komunalnych  przyjmowane są nieodpłatnie odpady komunalne takie jak: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przeterminowane leki,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chemikalia,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zużyte baterie i akumulatory,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zużyty sprzęt elektryczny i elektroniczny,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budowlano – rozbiórkowe,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zużyte opony,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ulegające biodegradacji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opakowania po środkach ochrony roślin i nawozach,</w:t>
      </w:r>
    </w:p>
    <w:p w:rsidR="004C6DB3" w:rsidRPr="00DE77A2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metale</w:t>
      </w:r>
    </w:p>
    <w:p w:rsidR="004C6DB3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Dodatkowo raz w roku w miesiącu październiku organizowana jest mobilna zbiórka odpadów wielkogabarytowych. W tych dniach mieszkańcy mogą wystawić przed posesję takie odpady jak: radia, telewizory, monitory oraz inny sprzęt RTV, lodówki, pralki, kuchenki, odkurzacze, oraz inny sprzęt AGD, akumulatory, opony, dywany, </w:t>
      </w:r>
    </w:p>
    <w:p w:rsidR="004C6DB3" w:rsidRPr="008A4C27" w:rsidRDefault="004C6DB3" w:rsidP="004C6D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Możliwości przetwarzania zmieszanych odpadów komunalnych, odpadów zielonych oraz pozostałości z sortowania odpadów komunalnych przeznaczonych do składowania.</w:t>
      </w:r>
    </w:p>
    <w:p w:rsidR="004C6DB3" w:rsidRPr="00DE77A2" w:rsidRDefault="004C6DB3" w:rsidP="004C6DB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Zgodnie z art. 9e ust. 1 pkt. 2 ustawy z dnia 13 września 1996 r. o utrzymaniu czystości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 xml:space="preserve">i porządku w gminach, podmiot odbierający odpady komunalne do właścicieli nieruchomości obowiązany jest do przekazywania odebranych odpadów komunalnych zmieszanych, </w:t>
      </w:r>
      <w:r w:rsidRPr="00DC35FD">
        <w:rPr>
          <w:rFonts w:ascii="Times New Roman" w:hAnsi="Times New Roman" w:cs="Times New Roman"/>
          <w:sz w:val="24"/>
          <w:szCs w:val="24"/>
        </w:rPr>
        <w:lastRenderedPageBreak/>
        <w:t>odpadów zielonych oraz pozostałości z</w:t>
      </w:r>
      <w:r>
        <w:rPr>
          <w:rFonts w:ascii="Times New Roman" w:hAnsi="Times New Roman" w:cs="Times New Roman"/>
          <w:sz w:val="24"/>
          <w:szCs w:val="24"/>
        </w:rPr>
        <w:t xml:space="preserve"> sortowania odpadów komunalnych</w:t>
      </w:r>
      <w:r w:rsidRPr="00DC35FD">
        <w:rPr>
          <w:rFonts w:ascii="Times New Roman" w:hAnsi="Times New Roman" w:cs="Times New Roman"/>
          <w:sz w:val="24"/>
          <w:szCs w:val="24"/>
        </w:rPr>
        <w:t xml:space="preserve"> przeznaczonych do składowania, wyłącznie do regionalnych instalacji do przetwarzania odpadów komunalnych (tj. spełniających wymogi art. 35 ust. 6 nowej ustawy o odpadach).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>z zasadą bliskości z art. 20 ust. 7 ustawy z dnia 14 grudnia 2012 r. o odpadach, nakazuje się również, aby odpady komunalne zmieszane, pozostałości z sortowania odpadów komunalnych oraz pozostałości z procesu mechaniczno-biologicznego przetwarzania odpadów komunalnych, o ile są przeznaczone do składowania, a także od</w:t>
      </w:r>
      <w:r>
        <w:rPr>
          <w:rFonts w:ascii="Times New Roman" w:hAnsi="Times New Roman" w:cs="Times New Roman"/>
          <w:sz w:val="24"/>
          <w:szCs w:val="24"/>
        </w:rPr>
        <w:t>pady zielone, były przetwarzane</w:t>
      </w:r>
      <w:r w:rsidRPr="00DC35FD">
        <w:rPr>
          <w:rFonts w:ascii="Times New Roman" w:hAnsi="Times New Roman" w:cs="Times New Roman"/>
          <w:sz w:val="24"/>
          <w:szCs w:val="24"/>
        </w:rPr>
        <w:t xml:space="preserve"> na terenie regionu gospodarki odpadami komunalnymi, na którym zostały wytworzone.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Planem gospodarki odpadami komunalnymi dla województwa łódzkiego Gmina Mniszków należy do III regionu. W tym regionie istnieją trzy instalacje, które spełniają warunki regionalnej instalacji:</w:t>
      </w:r>
    </w:p>
    <w:p w:rsidR="004C6DB3" w:rsidRPr="00E70A32" w:rsidRDefault="004C6DB3" w:rsidP="004C6D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A32">
        <w:rPr>
          <w:rFonts w:ascii="Times New Roman" w:hAnsi="Times New Roman" w:cs="Times New Roman"/>
          <w:sz w:val="24"/>
          <w:szCs w:val="24"/>
        </w:rPr>
        <w:t>Lubochnia</w:t>
      </w:r>
      <w:r>
        <w:rPr>
          <w:rFonts w:ascii="Times New Roman" w:hAnsi="Times New Roman" w:cs="Times New Roman"/>
          <w:sz w:val="24"/>
          <w:szCs w:val="24"/>
        </w:rPr>
        <w:t xml:space="preserve"> Górki, gm. Lubochnia prowadzona</w:t>
      </w:r>
      <w:r w:rsidRPr="00E70A32">
        <w:rPr>
          <w:rFonts w:ascii="Times New Roman" w:hAnsi="Times New Roman" w:cs="Times New Roman"/>
          <w:sz w:val="24"/>
          <w:szCs w:val="24"/>
        </w:rPr>
        <w:t xml:space="preserve"> przez Sita Polska Sp. z o.o. z siedzibą w Warszawie,</w:t>
      </w:r>
    </w:p>
    <w:p w:rsidR="004C6DB3" w:rsidRPr="00E70A32" w:rsidRDefault="004C6DB3" w:rsidP="004C6D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A32">
        <w:rPr>
          <w:rFonts w:ascii="Times New Roman" w:hAnsi="Times New Roman" w:cs="Times New Roman"/>
          <w:sz w:val="24"/>
          <w:szCs w:val="24"/>
        </w:rPr>
        <w:t>Pł</w:t>
      </w:r>
      <w:r>
        <w:rPr>
          <w:rFonts w:ascii="Times New Roman" w:hAnsi="Times New Roman" w:cs="Times New Roman"/>
          <w:sz w:val="24"/>
          <w:szCs w:val="24"/>
        </w:rPr>
        <w:t>oszów gm. Radomsko, prowadzona</w:t>
      </w:r>
      <w:r w:rsidRPr="00E70A32">
        <w:rPr>
          <w:rFonts w:ascii="Times New Roman" w:hAnsi="Times New Roman" w:cs="Times New Roman"/>
          <w:sz w:val="24"/>
          <w:szCs w:val="24"/>
        </w:rPr>
        <w:t xml:space="preserve"> przez Przedsiębiorstwo Gospodarki Komunalnej w Radomsku,</w:t>
      </w:r>
    </w:p>
    <w:p w:rsidR="004C6DB3" w:rsidRPr="00E70A32" w:rsidRDefault="004C6DB3" w:rsidP="004C6D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Pukinin</w:t>
      </w:r>
      <w:r w:rsidRPr="00E70A32">
        <w:rPr>
          <w:rFonts w:ascii="Times New Roman" w:hAnsi="Times New Roman" w:cs="Times New Roman"/>
          <w:sz w:val="24"/>
          <w:szCs w:val="24"/>
        </w:rPr>
        <w:t xml:space="preserve"> gm. Rawa Mazowiecka, prowadzone przez ZGO AQUARIUM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E70A32">
        <w:rPr>
          <w:rFonts w:ascii="Times New Roman" w:hAnsi="Times New Roman" w:cs="Times New Roman"/>
          <w:sz w:val="24"/>
          <w:szCs w:val="24"/>
        </w:rPr>
        <w:t>w Rawie Mazowieckiej.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Zgodnie z art. 18 ustawy z dnia 14 grudnia 2012 r. o odpadach, odpady powinny być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 xml:space="preserve">w pierwszej kolejności poddawane odzyskowi, a składowane powinny być wyłącznie te odpady, których unieszkodliwienie w inny sposób było niemożliwe. 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C00">
        <w:rPr>
          <w:rFonts w:ascii="Times New Roman" w:hAnsi="Times New Roman" w:cs="Times New Roman"/>
          <w:b/>
          <w:sz w:val="24"/>
          <w:szCs w:val="24"/>
        </w:rPr>
        <w:t>Tabela. Sposób zagospodarowania niesegregowanych (zmiesza</w:t>
      </w:r>
      <w:r>
        <w:rPr>
          <w:rFonts w:ascii="Times New Roman" w:hAnsi="Times New Roman" w:cs="Times New Roman"/>
          <w:b/>
          <w:sz w:val="24"/>
          <w:szCs w:val="24"/>
        </w:rPr>
        <w:t>nych) odpadów komunalnych w 2013</w:t>
      </w:r>
      <w:r w:rsidRPr="00181C00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C6DB3" w:rsidTr="00E11F75"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instalacji, do której zostały przekazane zmieszane odpady komunalne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odebranych odpadów komunalnych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odebranych odpadów komunalnych (Mg)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zagospodarowania odpadów komunalnych</w:t>
            </w:r>
          </w:p>
        </w:tc>
      </w:tr>
      <w:tr w:rsidR="004C6DB3" w:rsidTr="00E11F75"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Unieszkodliwiania Odpadów  w miejscowości Różanna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</w:tr>
      <w:tr w:rsidR="004C6DB3" w:rsidTr="00E11F75"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ZUOK Płoszów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2303" w:type="dxa"/>
          </w:tcPr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B3" w:rsidRDefault="004C6DB3" w:rsidP="00E1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R12</w:t>
            </w:r>
          </w:p>
        </w:tc>
      </w:tr>
    </w:tbl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D5 – Składowanie odpadów,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R12 – proces odzysku (wymiana odpadów w celu poddania ich procesowi wymienionego w punktach od R1-R11).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Wartość MBR, tj. masa odpadów o kodzie 19 12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niespełniających wymagań powstałych po mechaniczno-biologicznym przetworzeniu zmieszanych odpadów komunalnych o kodzie 20 03 01, przekazanych do składowania wyniosła w 2013 roku 82,4 </w:t>
      </w:r>
      <w:proofErr w:type="spellStart"/>
      <w:r>
        <w:rPr>
          <w:rFonts w:ascii="Times New Roman" w:hAnsi="Times New Roman" w:cs="Times New Roman"/>
          <w:sz w:val="24"/>
          <w:szCs w:val="24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Pr="009357CE" w:rsidRDefault="004C6DB3" w:rsidP="004C6D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7CE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</w:t>
      </w:r>
    </w:p>
    <w:p w:rsidR="004C6DB3" w:rsidRPr="009357CE" w:rsidRDefault="004C6DB3" w:rsidP="004C6DB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2013 roku Gmina Mniszków nie zrealizowała żadnych  zadań inwestycyjnych związanych z gospodarowaniem odpadami komunalnymi.</w:t>
      </w:r>
      <w:r w:rsidRPr="00FE4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Default="004C6DB3" w:rsidP="004C6D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mieszkańców Gminy Mniszków</w:t>
      </w:r>
    </w:p>
    <w:p w:rsidR="004C6DB3" w:rsidRDefault="004C6DB3" w:rsidP="004C6D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Pr="00307036" w:rsidRDefault="004C6DB3" w:rsidP="004C6D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036">
        <w:rPr>
          <w:rFonts w:ascii="Times New Roman" w:hAnsi="Times New Roman" w:cs="Times New Roman"/>
          <w:sz w:val="24"/>
          <w:szCs w:val="24"/>
        </w:rPr>
        <w:t>Na dzień 31 grudnia 2013 roku liczba osób zameldowanych na terenie Gminy Mniszków wyniosła 4703 osób</w:t>
      </w:r>
      <w:r>
        <w:rPr>
          <w:rFonts w:ascii="Times New Roman" w:hAnsi="Times New Roman" w:cs="Times New Roman"/>
          <w:sz w:val="24"/>
          <w:szCs w:val="24"/>
        </w:rPr>
        <w:t>, według danych z Ewidencji Ludności Urzędu Gminy Mniszków</w:t>
      </w:r>
    </w:p>
    <w:p w:rsidR="004C6DB3" w:rsidRPr="00307036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Pr="00DE76CD" w:rsidRDefault="004C6DB3" w:rsidP="004C6D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CD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 zgodnie z ustawą</w:t>
      </w:r>
    </w:p>
    <w:p w:rsidR="004C6DB3" w:rsidRPr="00DE76CD" w:rsidRDefault="004C6DB3" w:rsidP="004C6DB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zapisów art. 3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analizie powinna zostać poddana również liczba właścicieli nieruchomości, którzy nie złożyli deklaracji o wysokości opłaty za gospodarowanie odpadami komunalnymi, o której mowa w art. 6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imieniu których gmina powinna podjąć działania o których mowa w art. 6 ust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>
        <w:rPr>
          <w:rFonts w:ascii="Times New Roman" w:hAnsi="Times New Roman" w:cs="Times New Roman"/>
          <w:sz w:val="24"/>
          <w:szCs w:val="24"/>
        </w:rPr>
        <w:t>. Na chwilę obecną liczba ta wynosi 0. W stosunku do tych osób Wójt Gminy Mniszków wydał decyzje określające stawki opłaty za odbiór i zagospodarowanie odpadów komunalnych.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CD">
        <w:rPr>
          <w:rFonts w:ascii="Times New Roman" w:hAnsi="Times New Roman" w:cs="Times New Roman"/>
          <w:b/>
          <w:sz w:val="24"/>
          <w:szCs w:val="24"/>
        </w:rPr>
        <w:t>Ilość odpadów komunalnych wytworzonych na terenie gminy</w:t>
      </w:r>
    </w:p>
    <w:p w:rsidR="004C6DB3" w:rsidRPr="00DE76CD" w:rsidRDefault="004C6DB3" w:rsidP="004C6DB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odpadów komunalnych wytworzonych na terenie gminy Mniszków przedstawiona została na podstawie sprawozdań od firm odbierających odpady komunalne.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Arial" w:hAnsi="Arial" w:cs="Arial"/>
          <w:b/>
        </w:rPr>
      </w:pPr>
      <w:r w:rsidRPr="00C0496E">
        <w:rPr>
          <w:rFonts w:ascii="Times New Roman" w:hAnsi="Times New Roman" w:cs="Times New Roman"/>
          <w:b/>
          <w:sz w:val="24"/>
          <w:szCs w:val="24"/>
        </w:rPr>
        <w:t xml:space="preserve">Tabela. Ilość odpadów komunalnych odebranych z terenu Gminy </w:t>
      </w:r>
      <w:r>
        <w:rPr>
          <w:rFonts w:ascii="Times New Roman" w:hAnsi="Times New Roman" w:cs="Times New Roman"/>
          <w:b/>
          <w:sz w:val="24"/>
          <w:szCs w:val="24"/>
        </w:rPr>
        <w:t xml:space="preserve">Mniszków w 2013 </w:t>
      </w:r>
      <w:r w:rsidRPr="00C0496E">
        <w:rPr>
          <w:rFonts w:ascii="Times New Roman" w:hAnsi="Times New Roman" w:cs="Times New Roman"/>
          <w:b/>
          <w:sz w:val="24"/>
          <w:szCs w:val="24"/>
        </w:rPr>
        <w:t>roku</w:t>
      </w:r>
    </w:p>
    <w:p w:rsidR="004C6DB3" w:rsidRPr="00C0496E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5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2273"/>
        <w:gridCol w:w="3543"/>
        <w:gridCol w:w="3460"/>
      </w:tblGrid>
      <w:tr w:rsidR="004C6DB3" w:rsidRPr="007E04CD" w:rsidTr="00E11F75">
        <w:trPr>
          <w:trHeight w:val="3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A20EE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20EE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/>
                <w:bCs/>
              </w:rPr>
              <w:t>Ilość Mg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20 03 01- niesegregowane(zmieszane) odpady komunalne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282,4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 xml:space="preserve">20 01 </w:t>
            </w:r>
            <w:proofErr w:type="spellStart"/>
            <w:r w:rsidRPr="007A20EE">
              <w:rPr>
                <w:rFonts w:ascii="Arial" w:hAnsi="Arial" w:cs="Arial"/>
                <w:bCs/>
              </w:rPr>
              <w:t>01</w:t>
            </w:r>
            <w:proofErr w:type="spellEnd"/>
            <w:r w:rsidRPr="007A20EE">
              <w:rPr>
                <w:rFonts w:ascii="Arial" w:hAnsi="Arial" w:cs="Arial"/>
                <w:bCs/>
              </w:rPr>
              <w:t>- papier i tektura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4,4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 xml:space="preserve">15 01 </w:t>
            </w:r>
            <w:proofErr w:type="spellStart"/>
            <w:r w:rsidRPr="007A20EE">
              <w:rPr>
                <w:rFonts w:ascii="Arial" w:hAnsi="Arial" w:cs="Arial"/>
                <w:bCs/>
              </w:rPr>
              <w:t>01</w:t>
            </w:r>
            <w:proofErr w:type="spellEnd"/>
            <w:r w:rsidRPr="007A20EE">
              <w:rPr>
                <w:rFonts w:ascii="Arial" w:hAnsi="Arial" w:cs="Arial"/>
                <w:bCs/>
              </w:rPr>
              <w:t>- opakowania z papieru i tektury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2,0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15 01 02- opakowania z tworzyw sztucznych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8,3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15 01 07- opakowania ze szkła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6,7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01 06- zmieszane odpady opakowaniowe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23,1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02 01-odpady ulegające biodegradacji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17,7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 01 02-gruz ceglany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21,6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03 07-odpady wielkogabarytowe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7,7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 01 03- odpady innych materiałów ceramicznych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33,1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01 02- szkło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11,4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01 39 –tworzywa sztuczne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3,7</w:t>
            </w:r>
          </w:p>
        </w:tc>
      </w:tr>
      <w:tr w:rsidR="004C6DB3" w:rsidRPr="007E04CD" w:rsidTr="00E11F75">
        <w:trPr>
          <w:trHeight w:val="3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Razem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DB3" w:rsidRDefault="004C6DB3" w:rsidP="00E11F75">
            <w:pPr>
              <w:shd w:val="clear" w:color="auto" w:fill="FFFFFF"/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</w:p>
          <w:p w:rsidR="004C6DB3" w:rsidRPr="007A20EE" w:rsidRDefault="004C6DB3" w:rsidP="00E11F75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422,1</w:t>
            </w:r>
          </w:p>
        </w:tc>
      </w:tr>
    </w:tbl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Ilość zmieszanych odpadów komunalnych, odpadów zielonych oraz pozostałości z sortowania odpadów komunalnych przeznaczonych do składowania, odebranych z terenu Gminy Mniszków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Osiągany w roku rozliczeniowym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35FD">
        <w:rPr>
          <w:rFonts w:ascii="Times New Roman" w:hAnsi="Times New Roman" w:cs="Times New Roman"/>
          <w:sz w:val="24"/>
          <w:szCs w:val="24"/>
        </w:rPr>
        <w:t xml:space="preserve"> poziom ograniczenia masy odpadów komunalnych ulegających biodegradacji przekazanych do składowania obliczany jest na podstawie wzoru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 xml:space="preserve">z Rozporządzenia Ministra Środowiska z dnia 25 maja 2012 r.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. poziomów ograniczenia masy odpadów komunalnych ulegających biodegradacji przekazywanych do składowania oraz sposobu obliczania poziomu ograniczania masy tych odpadów: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TR =[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MOUBr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* 100 ] / OUB1995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Gdzie: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 – osiągany w roku rozliczeniowym poziom ograniczenia masy odpadów komunalnych ulegających biodegradacji przekazanych do składowania </w:t>
      </w:r>
      <w:r w:rsidRPr="00DC35F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C35FD">
        <w:rPr>
          <w:rFonts w:ascii="Times New Roman" w:hAnsi="Times New Roman" w:cs="Times New Roman"/>
          <w:sz w:val="24"/>
          <w:szCs w:val="24"/>
        </w:rPr>
        <w:t>]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OUB1995 = masa odpadów komunalnych ulegających biodegradacji wytworzonych w 1995 r.[Mg]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Moubr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masa odpadów komunalnych ulegających biodegradacji zebranych z obszaru danej gminy w roku rozliczeniowym, przekazanych do składowania [Mg], obliczana wg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wzoru: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  <w:lang w:val="en-US"/>
        </w:rPr>
        <w:t>Moubr</w:t>
      </w:r>
      <w:proofErr w:type="spellEnd"/>
      <w:r w:rsidRPr="00DC35F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DC35FD">
        <w:rPr>
          <w:rFonts w:ascii="Times New Roman" w:hAnsi="Times New Roman" w:cs="Times New Roman"/>
          <w:sz w:val="24"/>
          <w:szCs w:val="24"/>
          <w:lang w:val="en-US"/>
        </w:rPr>
        <w:t>MMr</w:t>
      </w:r>
      <w:proofErr w:type="spellEnd"/>
      <w:r w:rsidRPr="00DC35FD">
        <w:rPr>
          <w:rFonts w:ascii="Times New Roman" w:hAnsi="Times New Roman" w:cs="Times New Roman"/>
          <w:sz w:val="24"/>
          <w:szCs w:val="24"/>
          <w:lang w:val="en-US"/>
        </w:rPr>
        <w:t xml:space="preserve"> x UM) + </w:t>
      </w:r>
      <w:r>
        <w:rPr>
          <w:rFonts w:ascii="Times New Roman" w:hAnsi="Times New Roman" w:cs="Times New Roman"/>
          <w:sz w:val="24"/>
          <w:szCs w:val="24"/>
          <w:lang w:val="en-US"/>
        </w:rPr>
        <w:t>(MWR x UW)+</w:t>
      </w:r>
      <w:r w:rsidRPr="00DC35FD">
        <w:rPr>
          <w:rFonts w:ascii="Times New Roman" w:hAnsi="Times New Roman" w:cs="Times New Roman"/>
          <w:sz w:val="24"/>
          <w:szCs w:val="24"/>
          <w:lang w:val="en-US"/>
        </w:rPr>
        <w:t>(MSR x US) + (MBR x 0,52) [Mg]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Gdzie: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MMr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masa zmieszanych odpadów komunalnych o kodzie 20 03 01 zebranych na obszarze miast w roku rozliczeniowym, przekazanych do składowania [Mg],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UM – udział odpadów ulegających biodegradacji w masie zmieszanych odpadów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komunalnych dla miast wynoszący 0,57,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MWR – masa zmieszanych odpadów komunalnych o kodzie 20 03 01 zebranych na obszarze wsi w roku rozliczeniowym, przekazanych do składowania,</w:t>
      </w:r>
      <w:r w:rsidRPr="00C8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[Mg],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 – udział odpadów ulegających biodegradacji w masie zmieszanych odpadów komunalnych dla wsi wynoszący 0,48,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MSR – masa selektywnie zebranych odpadów ulegających biodegradacji ze strumienia odpadów komunalnych z obszaru danej gminy w roku rozliczeniowym,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przekazanych do składowania,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US – udział odpadów ulegających biodegradacji w masie selektywnie zebranych odpadów ulegających biodegradacji ze strumienia odpadów komunalnych w zależności od kodu odpadu (20 01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, 20 01 08, 20 01 10, 20 01 11, 20 01 25, 20 01 38, 20 02 01,20 03 02, 15 01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, 15 01 03, ex 15 01 09 z włókien naturalnych, ex 15 01 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w części zawierającej papier, tekturę, drewno i tekstylia z włókien naturalnych),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MBR – masa odpadów powstałych po mechaniczno-biologicznym przetworzeniu zmieszanych odpadów komunalnych o kodzie 19 12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niespełniających wymagań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rozporządzenia Ministra Środowiska, przekazanych do składowania,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0,52 – średni udział odpadów ulegających biodegradacji w masie odpadów powstałych po mechaniczno-biologicznym przetworzeniu zmieszanych odpadów komunalnych o kodzie 19 12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niespełniających wymagań rozporządzenia Ministra Środowiska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(...),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Dane: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OUB1995 = 237,632</w:t>
      </w:r>
      <w:r w:rsidRPr="00DC35FD">
        <w:rPr>
          <w:rFonts w:ascii="Times New Roman" w:hAnsi="Times New Roman" w:cs="Times New Roman"/>
          <w:sz w:val="24"/>
          <w:szCs w:val="24"/>
        </w:rPr>
        <w:t>Mg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MSR = 0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MBR = 82,4</w:t>
      </w:r>
      <w:r w:rsidRPr="00DC35FD">
        <w:rPr>
          <w:rFonts w:ascii="Times New Roman" w:hAnsi="Times New Roman" w:cs="Times New Roman"/>
          <w:sz w:val="24"/>
          <w:szCs w:val="24"/>
        </w:rPr>
        <w:t>Mg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Obliczenia:</w:t>
      </w:r>
    </w:p>
    <w:p w:rsidR="004C6DB3" w:rsidRPr="00133844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Moubr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=(110,6</w:t>
      </w:r>
      <w:r w:rsidRPr="00133844">
        <w:rPr>
          <w:rFonts w:ascii="Times New Roman" w:hAnsi="Times New Roman" w:cs="Times New Roman"/>
          <w:sz w:val="24"/>
          <w:szCs w:val="24"/>
        </w:rPr>
        <w:t xml:space="preserve"> x 0,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338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1338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56,457</w:t>
      </w:r>
      <w:r w:rsidRPr="00133844">
        <w:rPr>
          <w:rFonts w:ascii="Times New Roman" w:hAnsi="Times New Roman" w:cs="Times New Roman"/>
          <w:sz w:val="24"/>
          <w:szCs w:val="24"/>
        </w:rPr>
        <w:t xml:space="preserve"> x 0,52) = </w:t>
      </w:r>
      <w:r>
        <w:rPr>
          <w:rFonts w:ascii="Times New Roman" w:hAnsi="Times New Roman" w:cs="Times New Roman"/>
          <w:sz w:val="24"/>
          <w:szCs w:val="24"/>
        </w:rPr>
        <w:t>82,4</w:t>
      </w:r>
      <w:r w:rsidRPr="00133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33844">
        <w:rPr>
          <w:rFonts w:ascii="Times New Roman" w:hAnsi="Times New Roman" w:cs="Times New Roman"/>
          <w:sz w:val="24"/>
          <w:szCs w:val="24"/>
        </w:rPr>
        <w:t xml:space="preserve">g </w:t>
      </w:r>
    </w:p>
    <w:p w:rsidR="004C6DB3" w:rsidRPr="00133844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t xml:space="preserve">TR = </w:t>
      </w:r>
      <w:r>
        <w:rPr>
          <w:rFonts w:ascii="Times New Roman" w:hAnsi="Times New Roman" w:cs="Times New Roman"/>
          <w:sz w:val="24"/>
          <w:szCs w:val="24"/>
        </w:rPr>
        <w:t>82,4</w:t>
      </w:r>
      <w:r w:rsidRPr="00133844">
        <w:rPr>
          <w:rFonts w:ascii="Times New Roman" w:hAnsi="Times New Roman" w:cs="Times New Roman"/>
          <w:sz w:val="24"/>
          <w:szCs w:val="24"/>
        </w:rPr>
        <w:t xml:space="preserve">x 100/ </w:t>
      </w:r>
      <w:r>
        <w:rPr>
          <w:rFonts w:ascii="Times New Roman" w:hAnsi="Times New Roman" w:cs="Times New Roman"/>
          <w:sz w:val="24"/>
          <w:szCs w:val="24"/>
        </w:rPr>
        <w:t>237,6</w:t>
      </w:r>
      <w:r w:rsidRPr="0013384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34,6%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 = 34,6</w:t>
      </w:r>
      <w:r w:rsidRPr="00DC35FD">
        <w:rPr>
          <w:rFonts w:ascii="Times New Roman" w:hAnsi="Times New Roman" w:cs="Times New Roman"/>
          <w:sz w:val="24"/>
          <w:szCs w:val="24"/>
        </w:rPr>
        <w:t>%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 &lt; PR,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gdzie PR to poziom ograniczania masy odpadów komunalnych ulegających biodegradacj</w:t>
      </w:r>
      <w:r>
        <w:rPr>
          <w:rFonts w:ascii="Times New Roman" w:hAnsi="Times New Roman" w:cs="Times New Roman"/>
          <w:sz w:val="24"/>
          <w:szCs w:val="24"/>
        </w:rPr>
        <w:t>i przekazywanych do składowania.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masy odpadów komunalnych ulegających biodegradacji przekazanych do składowania  przez Gminę Mniszków w roku 2013 wyniósł 34,6% przy dopuszczalnym poziomie 50%.</w:t>
      </w:r>
    </w:p>
    <w:p w:rsidR="004C6DB3" w:rsidRPr="003A122D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2D">
        <w:rPr>
          <w:rFonts w:ascii="Times New Roman" w:hAnsi="Times New Roman" w:cs="Times New Roman"/>
          <w:b/>
          <w:sz w:val="24"/>
          <w:szCs w:val="24"/>
        </w:rPr>
        <w:t>Poziom recyklingu i przygotowania do ponownego użycia papieru, metali, tworzyw sztucznych i szkła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Poziom recyklingu i przygotowania do ponownego użycia papieru, metali, tworzyw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 xml:space="preserve">sztucznych i szkła oblicza się na podstawie wzoru z Rozporządzenia Ministra Środowiska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 xml:space="preserve">z dnia 29 maja 2012 r.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. poziomów recyklingu, przygotowania do ponownego użycia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>i odzysku innymi metodami niektórych frakcji odpadów komunalnych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Ppmts=Mrpmts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x 100%/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pmts</w:t>
      </w:r>
      <w:proofErr w:type="spellEnd"/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Gdzie: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poziom recyklingu i przygotowania do ponownego użycia papieru, metali, tworzyw sztucznych i szkła, wyrażony w %,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Mrpmts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- łączna masa odpadów papieru, metalu, tworzyw sztucznych i szkła poddanych recyklingowi i przygotowanych do ponownego użycia, pochodzących ze strumienia odpadów </w:t>
      </w:r>
      <w:r w:rsidRPr="00DC35FD">
        <w:rPr>
          <w:rFonts w:ascii="Times New Roman" w:hAnsi="Times New Roman" w:cs="Times New Roman"/>
          <w:sz w:val="24"/>
          <w:szCs w:val="24"/>
        </w:rPr>
        <w:lastRenderedPageBreak/>
        <w:t xml:space="preserve">komunalnych z gospodarstw domowych oraz od innych wytwórców odpadów komunalnych, wyrażona w Mg, zgodnie z Rozporządzeniem do obliczeń wzięto pod uwagę odpady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 xml:space="preserve">o kodach:15 01 01,15 01 02, 15 01 04, 15 01 06, 15 01 07, 20 01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, 20 01 02, 20 01 39, 20 01 40.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łączna masa wytworzonych odpadów papieru, metalu, tworzyw sztucznych i szkła, pochodzących ze strumienia odpadów komunalnych, wyrażona w Mg, obliczana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wzoru:(w przypadku gmin)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MwGUS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Umpmts</w:t>
      </w:r>
      <w:proofErr w:type="spellEnd"/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gdzie: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- liczba mieszkańców gminy –</w:t>
      </w:r>
      <w:r>
        <w:rPr>
          <w:rFonts w:ascii="Times New Roman" w:hAnsi="Times New Roman" w:cs="Times New Roman"/>
          <w:sz w:val="24"/>
          <w:szCs w:val="24"/>
        </w:rPr>
        <w:t xml:space="preserve"> 4703</w:t>
      </w:r>
      <w:r w:rsidRPr="00DC35FD">
        <w:rPr>
          <w:rFonts w:ascii="Times New Roman" w:hAnsi="Times New Roman" w:cs="Times New Roman"/>
          <w:sz w:val="24"/>
          <w:szCs w:val="24"/>
        </w:rPr>
        <w:t>osoby – stan na dzień 31.12.201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35FD">
        <w:rPr>
          <w:rFonts w:ascii="Times New Roman" w:hAnsi="Times New Roman" w:cs="Times New Roman"/>
          <w:sz w:val="24"/>
          <w:szCs w:val="24"/>
        </w:rPr>
        <w:t xml:space="preserve"> rok według E</w:t>
      </w:r>
      <w:r>
        <w:rPr>
          <w:rFonts w:ascii="Times New Roman" w:hAnsi="Times New Roman" w:cs="Times New Roman"/>
          <w:sz w:val="24"/>
          <w:szCs w:val="24"/>
        </w:rPr>
        <w:t>widencji Ludności Urzędu Gminy Mniszków.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MwGUS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- masa wytworzonych odpadów komunalnych przez jednego mieszkańca na terenie województwa – 0,</w:t>
      </w:r>
      <w:r>
        <w:rPr>
          <w:rFonts w:ascii="Times New Roman" w:hAnsi="Times New Roman" w:cs="Times New Roman"/>
          <w:sz w:val="24"/>
          <w:szCs w:val="24"/>
        </w:rPr>
        <w:t>351</w:t>
      </w:r>
      <w:r w:rsidRPr="00DC35FD">
        <w:rPr>
          <w:rFonts w:ascii="Times New Roman" w:hAnsi="Times New Roman" w:cs="Times New Roman"/>
          <w:sz w:val="24"/>
          <w:szCs w:val="24"/>
        </w:rPr>
        <w:t xml:space="preserve"> Mg/osobę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. danych GUS,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Umpmts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– udział łączny odpadów papieru, metali, tworzyw sztucznych i szkła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w składzie morfologicznym odpadów komunalnych - wg Krajowego Planu Gospodarki Odpadami wynoszący dla wsi– 27,7%)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Dane: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Mrpmts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457,25</w:t>
      </w:r>
      <w:r w:rsidRPr="00DC35FD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Obliczenia:</w:t>
      </w:r>
    </w:p>
    <w:p w:rsidR="004C6DB3" w:rsidRPr="00133844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844">
        <w:rPr>
          <w:rFonts w:ascii="Times New Roman" w:hAnsi="Times New Roman" w:cs="Times New Roman"/>
          <w:sz w:val="24"/>
          <w:szCs w:val="24"/>
        </w:rPr>
        <w:t>Mwpmts</w:t>
      </w:r>
      <w:proofErr w:type="spellEnd"/>
      <w:r w:rsidRPr="0013384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4703</w:t>
      </w:r>
      <w:r w:rsidRPr="00133844">
        <w:rPr>
          <w:rFonts w:ascii="Times New Roman" w:hAnsi="Times New Roman" w:cs="Times New Roman"/>
          <w:sz w:val="24"/>
          <w:szCs w:val="24"/>
        </w:rPr>
        <w:t xml:space="preserve"> x 0,</w:t>
      </w:r>
      <w:r>
        <w:rPr>
          <w:rFonts w:ascii="Times New Roman" w:hAnsi="Times New Roman" w:cs="Times New Roman"/>
          <w:sz w:val="24"/>
          <w:szCs w:val="24"/>
        </w:rPr>
        <w:t>351 x 0,277</w:t>
      </w:r>
      <w:r w:rsidRPr="00133844">
        <w:rPr>
          <w:rFonts w:ascii="Times New Roman" w:hAnsi="Times New Roman" w:cs="Times New Roman"/>
          <w:sz w:val="24"/>
          <w:szCs w:val="24"/>
        </w:rPr>
        <w:t xml:space="preserve">% = </w:t>
      </w:r>
      <w:r>
        <w:rPr>
          <w:rFonts w:ascii="Times New Roman" w:hAnsi="Times New Roman" w:cs="Times New Roman"/>
          <w:sz w:val="24"/>
          <w:szCs w:val="24"/>
        </w:rPr>
        <w:t xml:space="preserve">457,25 </w:t>
      </w:r>
      <w:r w:rsidRPr="00133844">
        <w:rPr>
          <w:rFonts w:ascii="Times New Roman" w:hAnsi="Times New Roman" w:cs="Times New Roman"/>
          <w:sz w:val="24"/>
          <w:szCs w:val="24"/>
        </w:rPr>
        <w:t>Mg</w:t>
      </w:r>
    </w:p>
    <w:p w:rsidR="004C6DB3" w:rsidRPr="009D6281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281">
        <w:rPr>
          <w:rFonts w:ascii="Times New Roman" w:hAnsi="Times New Roman" w:cs="Times New Roman"/>
          <w:sz w:val="24"/>
          <w:szCs w:val="24"/>
        </w:rPr>
        <w:t>Ppmts</w:t>
      </w:r>
      <w:proofErr w:type="spellEnd"/>
      <w:r w:rsidRPr="009D6281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63,8</w:t>
      </w:r>
      <w:r w:rsidRPr="009D6281">
        <w:rPr>
          <w:rFonts w:ascii="Times New Roman" w:hAnsi="Times New Roman" w:cs="Times New Roman"/>
          <w:sz w:val="24"/>
          <w:szCs w:val="24"/>
        </w:rPr>
        <w:t xml:space="preserve"> x 100/ </w:t>
      </w:r>
      <w:r>
        <w:rPr>
          <w:rFonts w:ascii="Times New Roman" w:hAnsi="Times New Roman" w:cs="Times New Roman"/>
          <w:sz w:val="24"/>
          <w:szCs w:val="24"/>
        </w:rPr>
        <w:t>457,25</w:t>
      </w:r>
      <w:r w:rsidRPr="009D6281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13,9</w:t>
      </w:r>
      <w:r w:rsidRPr="009D6281">
        <w:rPr>
          <w:rFonts w:ascii="Times New Roman" w:hAnsi="Times New Roman" w:cs="Times New Roman"/>
          <w:sz w:val="24"/>
          <w:szCs w:val="24"/>
        </w:rPr>
        <w:t>%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13,9</w:t>
      </w:r>
      <w:r w:rsidRPr="00DC35FD">
        <w:rPr>
          <w:rFonts w:ascii="Times New Roman" w:hAnsi="Times New Roman" w:cs="Times New Roman"/>
          <w:sz w:val="24"/>
          <w:szCs w:val="24"/>
        </w:rPr>
        <w:t>%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Osiągnięty za rok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35FD">
        <w:rPr>
          <w:rFonts w:ascii="Times New Roman" w:hAnsi="Times New Roman" w:cs="Times New Roman"/>
          <w:sz w:val="24"/>
          <w:szCs w:val="24"/>
        </w:rPr>
        <w:t xml:space="preserve"> poziom recyklingu i przygotowania do ponownego użycia odpadów zbieranych w sposób selektywny, tj.: papieru, metali, tworzyw sztucznych i szkła, wyniósł zgodnie z ww. obliczeniami </w:t>
      </w:r>
      <w:r>
        <w:rPr>
          <w:rFonts w:ascii="Times New Roman" w:hAnsi="Times New Roman" w:cs="Times New Roman"/>
          <w:sz w:val="24"/>
          <w:szCs w:val="24"/>
        </w:rPr>
        <w:t>13,9</w:t>
      </w:r>
      <w:r w:rsidRPr="00DC35FD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4C6DB3" w:rsidRPr="00DC35FD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w 2013 roku  poziom odzysku tych frakcji surowcowych wynosi 12%.</w:t>
      </w:r>
    </w:p>
    <w:p w:rsidR="004C6DB3" w:rsidRPr="003A122D" w:rsidRDefault="004C6DB3" w:rsidP="004C6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2D">
        <w:rPr>
          <w:rFonts w:ascii="Times New Roman" w:hAnsi="Times New Roman" w:cs="Times New Roman"/>
          <w:b/>
          <w:sz w:val="24"/>
          <w:szCs w:val="24"/>
        </w:rPr>
        <w:t>Poziom recyklingu, przygotowania do ponownego użycia i odzysku innymi metodami niż niebezpieczne odpadów budowlanych i rozbiórkowych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 się na podstawie wzoru: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Mrbr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100% / </w:t>
      </w:r>
      <w:proofErr w:type="spellStart"/>
      <w:r>
        <w:rPr>
          <w:rFonts w:ascii="Times New Roman" w:hAnsi="Times New Roman" w:cs="Times New Roman"/>
          <w:sz w:val="24"/>
          <w:szCs w:val="24"/>
        </w:rPr>
        <w:t>Mwbr</w:t>
      </w:r>
      <w:proofErr w:type="spellEnd"/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poziom recyklingu przygotowania do ponownego użycia i odzysku innymi metodami niż niebezpieczne odpadów budowlanych i rozbiórkowych wyrażonych w %.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łączna masa innych niż niebezpieczne odpadów budowlanych i rozbiórkowych.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łączna masa innych niż niebezpieczne odpadów budowlanych i rozbiórkowych.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54,7 x 100% / 54,7 = 100%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został osiągnięty.</w:t>
      </w: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DB3" w:rsidRPr="00B920DA" w:rsidRDefault="004C6DB3" w:rsidP="004C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 Agnieszka Łącka – Inspektor ds. gospodarki odpadami komunalnymi.</w:t>
      </w:r>
    </w:p>
    <w:p w:rsidR="00016B91" w:rsidRDefault="00016B91"/>
    <w:sectPr w:rsidR="00016B91" w:rsidSect="00917EF3">
      <w:head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4334" w:rsidRDefault="004C6DB3">
        <w:pPr>
          <w:pStyle w:val="Nagwek"/>
          <w:jc w:val="right"/>
        </w:pPr>
        <w:r w:rsidRPr="00917EF3">
          <w:rPr>
            <w:rFonts w:ascii="Times New Roman" w:hAnsi="Times New Roman" w:cs="Times New Roman"/>
          </w:rPr>
          <w:fldChar w:fldCharType="begin"/>
        </w:r>
        <w:r w:rsidRPr="00917EF3">
          <w:rPr>
            <w:rFonts w:ascii="Times New Roman" w:hAnsi="Times New Roman" w:cs="Times New Roman"/>
          </w:rPr>
          <w:instrText xml:space="preserve"> PAGE   \* MERGEFORMAT </w:instrText>
        </w:r>
        <w:r w:rsidRPr="00917EF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917EF3">
          <w:rPr>
            <w:rFonts w:ascii="Times New Roman" w:hAnsi="Times New Roman" w:cs="Times New Roman"/>
          </w:rPr>
          <w:fldChar w:fldCharType="end"/>
        </w:r>
      </w:p>
    </w:sdtContent>
  </w:sdt>
  <w:p w:rsidR="005E4334" w:rsidRDefault="004C6D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AC9"/>
    <w:multiLevelType w:val="hybridMultilevel"/>
    <w:tmpl w:val="C7C0C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367B"/>
    <w:multiLevelType w:val="hybridMultilevel"/>
    <w:tmpl w:val="B088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DC4"/>
    <w:multiLevelType w:val="hybridMultilevel"/>
    <w:tmpl w:val="B7D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A4CE9"/>
    <w:multiLevelType w:val="hybridMultilevel"/>
    <w:tmpl w:val="6C3CB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6DB3"/>
    <w:rsid w:val="00016B91"/>
    <w:rsid w:val="004C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6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DB3"/>
  </w:style>
  <w:style w:type="table" w:styleId="Tabela-Siatka">
    <w:name w:val="Table Grid"/>
    <w:basedOn w:val="Standardowy"/>
    <w:uiPriority w:val="59"/>
    <w:rsid w:val="004C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2808</Words>
  <Characters>16852</Characters>
  <Application>Microsoft Office Word</Application>
  <DocSecurity>0</DocSecurity>
  <Lines>140</Lines>
  <Paragraphs>39</Paragraphs>
  <ScaleCrop>false</ScaleCrop>
  <Company/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....</cp:lastModifiedBy>
  <cp:revision>2</cp:revision>
  <dcterms:created xsi:type="dcterms:W3CDTF">2014-03-18T09:35:00Z</dcterms:created>
  <dcterms:modified xsi:type="dcterms:W3CDTF">2014-03-18T09:35:00Z</dcterms:modified>
</cp:coreProperties>
</file>